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3D1DF8">
        <w:rPr>
          <w:rFonts w:ascii="Palatino Linotype" w:eastAsia="Calibri" w:hAnsi="Palatino Linotype" w:cs="Arial"/>
          <w:b/>
          <w:sz w:val="24"/>
          <w:szCs w:val="24"/>
        </w:rPr>
        <w:t>04</w:t>
      </w:r>
      <w:r w:rsidR="00270A82">
        <w:rPr>
          <w:rFonts w:ascii="Palatino Linotype" w:eastAsia="Calibri" w:hAnsi="Palatino Linotype" w:cs="Arial"/>
          <w:b/>
          <w:sz w:val="24"/>
          <w:szCs w:val="24"/>
        </w:rPr>
        <w:t>837</w:t>
      </w:r>
      <w:r w:rsidR="003D1DF8">
        <w:rPr>
          <w:rFonts w:ascii="Palatino Linotype" w:eastAsia="Calibri" w:hAnsi="Palatino Linotype" w:cs="Arial"/>
          <w:b/>
          <w:sz w:val="24"/>
          <w:szCs w:val="24"/>
        </w:rPr>
        <w:t>/INFOEM/IP/RR/2018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Default="00FE083B" w:rsidP="00FE083B">
      <w:pPr>
        <w:spacing w:line="360" w:lineRule="auto"/>
        <w:jc w:val="both"/>
        <w:rPr>
          <w:rFonts w:ascii="Palatino Linotype" w:hAnsi="Palatino Linotype" w:cs="Arial"/>
        </w:rPr>
      </w:pPr>
    </w:p>
    <w:p w:rsidR="00FE083B" w:rsidRDefault="00FE083B" w:rsidP="00FE083B">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FE083B" w:rsidRDefault="00FE083B" w:rsidP="00FE083B">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FE083B" w:rsidRDefault="00FE083B" w:rsidP="00FE083B">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FE083B" w:rsidRPr="00FE083B" w:rsidRDefault="009C382C" w:rsidP="00FE083B">
          <w:pPr>
            <w:pStyle w:val="TDC1"/>
            <w:spacing w:line="480" w:lineRule="auto"/>
            <w:rPr>
              <w:rFonts w:ascii="Palatino Linotype" w:eastAsiaTheme="minorEastAsia" w:hAnsi="Palatino Linotype"/>
              <w:noProof/>
              <w:sz w:val="24"/>
              <w:szCs w:val="24"/>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527994041" w:history="1">
            <w:r w:rsidR="00FE083B" w:rsidRPr="00FE083B">
              <w:rPr>
                <w:rStyle w:val="Hipervnculo"/>
                <w:rFonts w:ascii="Palatino Linotype" w:eastAsia="Times New Roman" w:hAnsi="Palatino Linotype"/>
                <w:b/>
                <w:noProof/>
                <w:sz w:val="24"/>
                <w:szCs w:val="24"/>
              </w:rPr>
              <w:t>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Times New Roman" w:hAnsi="Palatino Linotype"/>
                <w:b/>
                <w:noProof/>
                <w:sz w:val="24"/>
                <w:szCs w:val="24"/>
              </w:rPr>
              <w:t>Consideraciones Generales</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_Toc527994041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6A35A5">
              <w:rPr>
                <w:rFonts w:ascii="Palatino Linotype" w:hAnsi="Palatino Linotype"/>
                <w:noProof/>
                <w:webHidden/>
                <w:sz w:val="24"/>
                <w:szCs w:val="24"/>
              </w:rPr>
              <w:t>3</w:t>
            </w:r>
            <w:r w:rsidR="00FE083B" w:rsidRPr="00FE083B">
              <w:rPr>
                <w:rFonts w:ascii="Palatino Linotype" w:hAnsi="Palatino Linotype"/>
                <w:noProof/>
                <w:webHidden/>
                <w:sz w:val="24"/>
                <w:szCs w:val="24"/>
              </w:rPr>
              <w:fldChar w:fldCharType="end"/>
            </w:r>
          </w:hyperlink>
        </w:p>
        <w:p w:rsidR="00FE083B" w:rsidRPr="00FE083B" w:rsidRDefault="00F11305" w:rsidP="00FE083B">
          <w:pPr>
            <w:pStyle w:val="TDC1"/>
            <w:spacing w:line="480" w:lineRule="auto"/>
            <w:rPr>
              <w:rFonts w:ascii="Palatino Linotype" w:eastAsiaTheme="minorEastAsia" w:hAnsi="Palatino Linotype"/>
              <w:noProof/>
              <w:sz w:val="24"/>
              <w:szCs w:val="24"/>
              <w:lang w:eastAsia="es-MX"/>
            </w:rPr>
          </w:pPr>
          <w:hyperlink w:anchor="_Toc527994042" w:history="1">
            <w:r w:rsidR="00FE083B" w:rsidRPr="00FE083B">
              <w:rPr>
                <w:rStyle w:val="Hipervnculo"/>
                <w:rFonts w:ascii="Palatino Linotype" w:eastAsia="Calibri" w:hAnsi="Palatino Linotype"/>
                <w:b/>
                <w:noProof/>
                <w:sz w:val="24"/>
                <w:szCs w:val="24"/>
                <w:lang w:val="es-ES"/>
              </w:rPr>
              <w:t>II.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Calibri" w:hAnsi="Palatino Linotype"/>
                <w:b/>
                <w:noProof/>
                <w:sz w:val="24"/>
                <w:szCs w:val="24"/>
                <w:lang w:val="es-ES"/>
              </w:rPr>
              <w:t>De los requerimientos planteados en el recurso de revisión.</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_Toc527994042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6A35A5">
              <w:rPr>
                <w:rFonts w:ascii="Palatino Linotype" w:hAnsi="Palatino Linotype"/>
                <w:noProof/>
                <w:webHidden/>
                <w:sz w:val="24"/>
                <w:szCs w:val="24"/>
              </w:rPr>
              <w:t>4</w:t>
            </w:r>
            <w:r w:rsidR="00FE083B" w:rsidRPr="00FE083B">
              <w:rPr>
                <w:rFonts w:ascii="Palatino Linotype" w:hAnsi="Palatino Linotype"/>
                <w:noProof/>
                <w:webHidden/>
                <w:sz w:val="24"/>
                <w:szCs w:val="24"/>
              </w:rPr>
              <w:fldChar w:fldCharType="end"/>
            </w:r>
          </w:hyperlink>
        </w:p>
        <w:p w:rsidR="00FE083B" w:rsidRPr="00FE083B" w:rsidRDefault="00F11305" w:rsidP="00FE083B">
          <w:pPr>
            <w:pStyle w:val="TDC1"/>
            <w:spacing w:line="480" w:lineRule="auto"/>
            <w:rPr>
              <w:rFonts w:ascii="Palatino Linotype" w:eastAsiaTheme="minorEastAsia" w:hAnsi="Palatino Linotype"/>
              <w:noProof/>
              <w:sz w:val="24"/>
              <w:szCs w:val="24"/>
              <w:lang w:eastAsia="es-MX"/>
            </w:rPr>
          </w:pPr>
          <w:hyperlink w:anchor="_Toc527994043" w:history="1">
            <w:r w:rsidR="00FE083B" w:rsidRPr="00FE083B">
              <w:rPr>
                <w:rStyle w:val="Hipervnculo"/>
                <w:rFonts w:ascii="Palatino Linotype" w:hAnsi="Palatino Linotype"/>
                <w:b/>
                <w:noProof/>
                <w:sz w:val="24"/>
                <w:szCs w:val="24"/>
              </w:rPr>
              <w:t>De la respuesta del Sujeto Obligado.</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_Toc527994043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6A35A5">
              <w:rPr>
                <w:rFonts w:ascii="Palatino Linotype" w:hAnsi="Palatino Linotype"/>
                <w:noProof/>
                <w:webHidden/>
                <w:sz w:val="24"/>
                <w:szCs w:val="24"/>
              </w:rPr>
              <w:t>5</w:t>
            </w:r>
            <w:r w:rsidR="00FE083B" w:rsidRPr="00FE083B">
              <w:rPr>
                <w:rFonts w:ascii="Palatino Linotype" w:hAnsi="Palatino Linotype"/>
                <w:noProof/>
                <w:webHidden/>
                <w:sz w:val="24"/>
                <w:szCs w:val="24"/>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bookmarkStart w:id="1" w:name="_Toc526786187"/>
    <w:bookmarkStart w:id="2" w:name="_Toc527381339"/>
    <w:p w:rsidR="008F7805" w:rsidRPr="00877AE6" w:rsidRDefault="00C20346" w:rsidP="008F7805">
      <w:pPr>
        <w:rPr>
          <w:rFonts w:ascii="Palatino Linotype" w:hAnsi="Palatino Linotype"/>
          <w:sz w:val="24"/>
          <w:szCs w:val="24"/>
        </w:rPr>
      </w:pPr>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1A1F"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rugEAALkDAAAOAAAAZHJzL2Uyb0RvYy54bWysU8tu2zAQvAfoPxC815LjxGkEyzk4aC9F&#10;Y6TtBzDU0iLKF5asJf99lrStFG1RBEEvpJacmd1ZrlZ3ozVsDxi1dy2fz2rOwEnfabdr+fdvH99/&#10;4Cwm4TphvIOWHyDyu/W7i9UQGrj0vTcdICMRF5shtLxPKTRVFWUPVsSZD+DoUnm0IlGIu6pDMZC6&#10;NdVlXS+rwWMX0EuIkU7vj5d8XfSVApkelIqQmGk51ZbKimV9ymu1XolmhyL0Wp7KEG+owgrtKOkk&#10;dS+SYD9R/yFltUQfvUoz6W3lldISigdyM69/c/O1FwGKF2pODFOb4v+TlV/2W2S6a/mCMycsPdGG&#10;Hkomjwzzxha5R0OIDUE3bounKIYtZsOjQpt3ssLG0tfD1FcYE5N0eL1Y3i6ubziTdHd1dbO8rYtq&#10;9UIPGNMn8Jblj5Yb7bJx0Yj955goJUHPEApyOccCylc6GMhg4x5BkRlKOS/sMkawMcj2ggag+zHP&#10;ZkirIDNFaWMmUv1v0gmbaVBG67XECV0yepcmotXO49+ypvFcqjriz66PXrPtJ98dynOUdtB8FGen&#10;Wc4D+Gtc6C9/3PoZAAD//wMAUEsDBBQABgAIAAAAIQDZKe123QAAAAcBAAAPAAAAZHJzL2Rvd25y&#10;ZXYueG1sTI/BTsMwEETvSPyDtUjcqE3VhCqNU1WVEOKCaAp3N3adlHgd2U4a/p7lBMfZGc28Lbez&#10;69lkQuw8SnhcCGAGG687tBI+js8Pa2AxKdSq92gkfJsI2+r2plSF9lc8mKlOllEJxkJJaFMaCs5j&#10;0xqn4sIPBsk7++BUIhks10Fdqdz1fClEzp3qkBZaNZh9a5qvenQS+tcwfdq93cXx5ZDXl/fz8u04&#10;SXl/N+82wJKZ018YfvEJHSpiOvkRdWS9hNWKgnTOgJG7zgR9dpLwJPIMeFXy//zVDwAAAP//AwBQ&#10;SwECLQAUAAYACAAAACEAtoM4kv4AAADhAQAAEwAAAAAAAAAAAAAAAAAAAAAAW0NvbnRlbnRfVHlw&#10;ZXNdLnhtbFBLAQItABQABgAIAAAAIQA4/SH/1gAAAJQBAAALAAAAAAAAAAAAAAAAAC8BAABfcmVs&#10;cy8ucmVsc1BLAQItABQABgAIAAAAIQA/7HJrugEAALkDAAAOAAAAAAAAAAAAAAAAAC4CAABkcnMv&#10;ZTJvRG9jLnhtbFBLAQItABQABgAIAAAAIQDZKe123QAAAAcBAAAPAAAAAAAAAAAAAAAAABQEAABk&#10;cnMvZG93bnJldi54bWxQSwUGAAAAAAQABADzAAAAHgUAAAAA&#10;" strokecolor="black [3200]" strokeweight=".5pt">
                <v:stroke joinstyle="miter"/>
              </v:line>
            </w:pict>
          </mc:Fallback>
        </mc:AlternateContent>
      </w:r>
      <w:bookmarkEnd w:id="1"/>
      <w:bookmarkEnd w:id="2"/>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3" w:name="_Toc527994041"/>
      <w:r w:rsidRPr="00877AE6">
        <w:rPr>
          <w:rFonts w:ascii="Palatino Linotype" w:eastAsia="Times New Roman" w:hAnsi="Palatino Linotype"/>
          <w:b/>
          <w:color w:val="auto"/>
          <w:sz w:val="24"/>
          <w:szCs w:val="24"/>
        </w:rPr>
        <w:lastRenderedPageBreak/>
        <w:t>Consideraciones Generales</w:t>
      </w:r>
      <w:bookmarkEnd w:id="3"/>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3D1DF8" w:rsidRPr="00C743FE">
        <w:rPr>
          <w:rFonts w:ascii="Palatino Linotype" w:eastAsia="Calibri" w:hAnsi="Palatino Linotype" w:cs="Arial"/>
          <w:sz w:val="24"/>
          <w:szCs w:val="24"/>
        </w:rPr>
        <w:t>Primera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270A82">
        <w:rPr>
          <w:rFonts w:ascii="Palatino Linotype" w:eastAsia="Calibri" w:hAnsi="Palatino Linotype" w:cs="Arial"/>
          <w:sz w:val="24"/>
          <w:szCs w:val="24"/>
        </w:rPr>
        <w:t>seis</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3D1DF8" w:rsidRPr="00C743FE">
        <w:rPr>
          <w:rFonts w:ascii="Palatino Linotype" w:eastAsia="Calibri" w:hAnsi="Palatino Linotype" w:cs="Arial"/>
          <w:sz w:val="24"/>
          <w:szCs w:val="24"/>
        </w:rPr>
        <w:t>0</w:t>
      </w:r>
      <w:r w:rsidR="00270A82">
        <w:rPr>
          <w:rFonts w:ascii="Palatino Linotype" w:eastAsia="Calibri" w:hAnsi="Palatino Linotype" w:cs="Arial"/>
          <w:sz w:val="24"/>
          <w:szCs w:val="24"/>
        </w:rPr>
        <w:t>6</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270A82">
        <w:rPr>
          <w:rFonts w:ascii="Palatino Linotype" w:eastAsia="Calibri" w:hAnsi="Palatino Linotype" w:cs="Arial"/>
          <w:sz w:val="24"/>
          <w:szCs w:val="24"/>
        </w:rPr>
        <w:t>marzo</w:t>
      </w:r>
      <w:r w:rsidR="004137A7" w:rsidRPr="00877AE6">
        <w:rPr>
          <w:rFonts w:ascii="Palatino Linotype" w:eastAsia="Calibri" w:hAnsi="Palatino Linotype" w:cs="Arial"/>
          <w:sz w:val="24"/>
          <w:szCs w:val="24"/>
        </w:rPr>
        <w:t xml:space="preserve"> de </w:t>
      </w:r>
      <w:r w:rsidR="00270A82">
        <w:rPr>
          <w:rFonts w:ascii="Palatino Linotype" w:eastAsia="Calibri" w:hAnsi="Palatino Linotype" w:cs="Arial"/>
          <w:sz w:val="24"/>
          <w:szCs w:val="24"/>
        </w:rPr>
        <w:t>dos mil diecinueve</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en contra de la respuesta del</w:t>
      </w:r>
      <w:r w:rsidR="00E469EB" w:rsidRPr="00877AE6">
        <w:rPr>
          <w:rFonts w:ascii="Palatino Linotype" w:eastAsia="Times New Roman" w:hAnsi="Palatino Linotype" w:cs="Arial"/>
          <w:b/>
          <w:sz w:val="24"/>
          <w:szCs w:val="24"/>
          <w:lang w:val="es-ES" w:eastAsia="es-ES"/>
        </w:rPr>
        <w:t xml:space="preserve"> </w:t>
      </w:r>
      <w:r w:rsidR="00270A82">
        <w:rPr>
          <w:rFonts w:ascii="Palatino Linotype" w:hAnsi="Palatino Linotype" w:cs="Arial"/>
          <w:b/>
          <w:sz w:val="24"/>
          <w:szCs w:val="24"/>
        </w:rPr>
        <w:t>Instituto Materno Infantil del Estado de México</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3D1DF8">
        <w:rPr>
          <w:rFonts w:ascii="Palatino Linotype" w:hAnsi="Palatino Linotype"/>
          <w:b/>
          <w:sz w:val="24"/>
          <w:szCs w:val="24"/>
        </w:rPr>
        <w:t>04</w:t>
      </w:r>
      <w:r w:rsidR="00270A82">
        <w:rPr>
          <w:rFonts w:ascii="Palatino Linotype" w:hAnsi="Palatino Linotype"/>
          <w:b/>
          <w:sz w:val="24"/>
          <w:szCs w:val="24"/>
        </w:rPr>
        <w:t>837</w:t>
      </w:r>
      <w:r w:rsidR="003D1DF8">
        <w:rPr>
          <w:rFonts w:ascii="Palatino Linotype" w:hAnsi="Palatino Linotype"/>
          <w:b/>
          <w:sz w:val="24"/>
          <w:szCs w:val="24"/>
        </w:rPr>
        <w:t>/INFOEM/IP/RR/2018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3D1DF8" w:rsidRPr="00270A82" w:rsidRDefault="000D5AEA" w:rsidP="00D00AD3">
      <w:pPr>
        <w:numPr>
          <w:ilvl w:val="0"/>
          <w:numId w:val="2"/>
        </w:numPr>
        <w:spacing w:after="0" w:line="360" w:lineRule="auto"/>
        <w:contextualSpacing/>
        <w:jc w:val="both"/>
        <w:rPr>
          <w:rFonts w:ascii="Palatino Linotype" w:hAnsi="Palatino Linotype"/>
          <w:sz w:val="24"/>
          <w:szCs w:val="24"/>
        </w:rPr>
      </w:pPr>
      <w:r w:rsidRPr="003D1DF8">
        <w:rPr>
          <w:rFonts w:ascii="Palatino Linotype" w:eastAsia="Calibri" w:hAnsi="Palatino Linotype" w:cs="Arial"/>
          <w:sz w:val="24"/>
          <w:szCs w:val="24"/>
        </w:rPr>
        <w:t>L</w:t>
      </w:r>
      <w:r w:rsidR="004B0239" w:rsidRPr="003D1DF8">
        <w:rPr>
          <w:rFonts w:ascii="Palatino Linotype" w:eastAsia="Calibri" w:hAnsi="Palatino Linotype" w:cs="Arial"/>
          <w:sz w:val="24"/>
          <w:szCs w:val="24"/>
        </w:rPr>
        <w:t xml:space="preserve">a resolución </w:t>
      </w:r>
      <w:r w:rsidR="00270A82">
        <w:rPr>
          <w:rFonts w:ascii="Palatino Linotype" w:eastAsia="Calibri" w:hAnsi="Palatino Linotype" w:cs="Arial"/>
          <w:sz w:val="24"/>
          <w:szCs w:val="24"/>
        </w:rPr>
        <w:t>determinó</w:t>
      </w:r>
      <w:r w:rsidR="00270A82">
        <w:rPr>
          <w:rFonts w:ascii="Palatino Linotype" w:hAnsi="Palatino Linotype" w:cs="Arial"/>
          <w:sz w:val="24"/>
          <w:szCs w:val="24"/>
          <w:lang w:val="es-ES_tradnl"/>
        </w:rPr>
        <w:t xml:space="preserve"> modificar la respuesta y ordena al Sujeto Obligado atienda la solicitud de acceso a la información pública </w:t>
      </w:r>
      <w:r w:rsidR="00270A82" w:rsidRPr="00270A82">
        <w:rPr>
          <w:rFonts w:ascii="Palatino Linotype" w:hAnsi="Palatino Linotype"/>
          <w:b/>
          <w:bCs/>
          <w:sz w:val="24"/>
          <w:szCs w:val="24"/>
        </w:rPr>
        <w:t>00178/IMIEM/IP/2018</w:t>
      </w:r>
      <w:r w:rsidR="00270A82">
        <w:rPr>
          <w:rFonts w:ascii="Palatino Linotype" w:hAnsi="Palatino Linotype"/>
          <w:b/>
          <w:bCs/>
          <w:sz w:val="24"/>
          <w:szCs w:val="24"/>
        </w:rPr>
        <w:t xml:space="preserve"> </w:t>
      </w:r>
      <w:r w:rsidR="00270A82">
        <w:rPr>
          <w:rFonts w:ascii="Palatino Linotype" w:hAnsi="Palatino Linotype"/>
          <w:bCs/>
          <w:sz w:val="24"/>
          <w:szCs w:val="24"/>
        </w:rPr>
        <w:t xml:space="preserve">y permitir la consulta directa, de ser procedente en versión pública lo siguiente: </w:t>
      </w:r>
    </w:p>
    <w:p w:rsidR="003D1DF8" w:rsidRPr="003E4D44" w:rsidRDefault="00270A82" w:rsidP="00270A82">
      <w:pPr>
        <w:numPr>
          <w:ilvl w:val="0"/>
          <w:numId w:val="42"/>
        </w:numPr>
        <w:spacing w:before="240" w:after="240" w:line="360" w:lineRule="auto"/>
        <w:jc w:val="both"/>
        <w:rPr>
          <w:rFonts w:ascii="Palatino Linotype" w:hAnsi="Palatino Linotype"/>
        </w:rPr>
      </w:pPr>
      <w:r w:rsidRPr="00270A82">
        <w:rPr>
          <w:rFonts w:ascii="Palatino Linotype" w:hAnsi="Palatino Linotype"/>
          <w:i/>
        </w:rPr>
        <w:t>Los oficios, escritos y/o notas informativas generadas y recibidas por la Dirección de Administración y Finanzas del 5 de enero al 21 de noviembre de 2018.</w:t>
      </w:r>
      <w:r w:rsidR="003D1DF8" w:rsidRPr="003E4D44">
        <w:rPr>
          <w:rFonts w:ascii="Palatino Linotype" w:hAnsi="Palatino Linotype"/>
          <w:i/>
        </w:rPr>
        <w:t>.</w:t>
      </w:r>
    </w:p>
    <w:p w:rsidR="003D1DF8" w:rsidRPr="00912F71" w:rsidRDefault="003D1DF8" w:rsidP="00912F71">
      <w:pPr>
        <w:numPr>
          <w:ilvl w:val="0"/>
          <w:numId w:val="2"/>
        </w:numPr>
        <w:spacing w:after="0" w:line="360" w:lineRule="auto"/>
        <w:contextualSpacing/>
        <w:jc w:val="both"/>
        <w:rPr>
          <w:rFonts w:ascii="Palatino Linotype" w:hAnsi="Palatino Linotype"/>
          <w:sz w:val="24"/>
          <w:szCs w:val="24"/>
          <w:lang w:val="es-ES_tradnl"/>
        </w:rPr>
      </w:pPr>
      <w:r w:rsidRPr="003D1DF8">
        <w:rPr>
          <w:rFonts w:ascii="Palatino Linotype" w:eastAsia="Calibri" w:hAnsi="Palatino Linotype" w:cs="Arial"/>
          <w:sz w:val="24"/>
          <w:szCs w:val="24"/>
        </w:rPr>
        <w:t xml:space="preserve">Asimismo, se especificó que para el caso </w:t>
      </w:r>
      <w:r w:rsidR="00912F71">
        <w:rPr>
          <w:rFonts w:ascii="Palatino Linotype" w:eastAsia="Calibri" w:hAnsi="Palatino Linotype" w:cs="Arial"/>
          <w:sz w:val="24"/>
          <w:szCs w:val="24"/>
        </w:rPr>
        <w:t xml:space="preserve">de que, parte de la información solicitada encuadre </w:t>
      </w:r>
      <w:r w:rsidR="00912F71" w:rsidRPr="00912F71">
        <w:rPr>
          <w:rFonts w:ascii="Palatino Linotype" w:eastAsia="Calibri" w:hAnsi="Palatino Linotype" w:cs="Arial"/>
          <w:sz w:val="24"/>
          <w:szCs w:val="24"/>
        </w:rPr>
        <w:t xml:space="preserve">con alguna causal del artículo 140 de la ley de la materia, deberá elaborar un Acuerdo de Clasificación que apruebe el Comité de Transparencia, en el que funde y motive la clasificación de dicha información como reservada en su totalidad, en términos de los artículos 129 y 141 de la citada Ley de la Transparencia, debiendo notificarlo al </w:t>
      </w:r>
      <w:r w:rsidR="00912F71">
        <w:rPr>
          <w:rFonts w:ascii="Palatino Linotype" w:eastAsia="Calibri" w:hAnsi="Palatino Linotype" w:cs="Arial"/>
          <w:sz w:val="24"/>
          <w:szCs w:val="24"/>
        </w:rPr>
        <w:t xml:space="preserve">recurrente </w:t>
      </w:r>
      <w:r w:rsidR="00912F71" w:rsidRPr="00912F71">
        <w:rPr>
          <w:rFonts w:ascii="Palatino Linotype" w:eastAsia="Calibri" w:hAnsi="Palatino Linotype" w:cs="Arial"/>
          <w:sz w:val="24"/>
          <w:szCs w:val="24"/>
        </w:rPr>
        <w:t>al momento de dar cumplim</w:t>
      </w:r>
      <w:r w:rsidR="00912F71">
        <w:rPr>
          <w:rFonts w:ascii="Palatino Linotype" w:eastAsia="Calibri" w:hAnsi="Palatino Linotype" w:cs="Arial"/>
          <w:sz w:val="24"/>
          <w:szCs w:val="24"/>
        </w:rPr>
        <w:t xml:space="preserve">iento a la presente resolución. </w:t>
      </w:r>
    </w:p>
    <w:p w:rsidR="00912F71" w:rsidRDefault="00912F71" w:rsidP="00912F71">
      <w:pPr>
        <w:numPr>
          <w:ilvl w:val="0"/>
          <w:numId w:val="2"/>
        </w:numPr>
        <w:spacing w:after="0" w:line="360" w:lineRule="auto"/>
        <w:contextualSpacing/>
        <w:jc w:val="both"/>
        <w:rPr>
          <w:rFonts w:ascii="Palatino Linotype" w:hAnsi="Palatino Linotype" w:cs="Arial"/>
          <w:sz w:val="24"/>
          <w:szCs w:val="24"/>
        </w:rPr>
      </w:pPr>
      <w:r w:rsidRPr="004E1D27">
        <w:rPr>
          <w:rFonts w:ascii="Palatino Linotype" w:hAnsi="Palatino Linotype" w:cs="Arial"/>
          <w:sz w:val="24"/>
          <w:szCs w:val="24"/>
          <w:lang w:val="es-ES_tradnl"/>
        </w:rPr>
        <w:lastRenderedPageBreak/>
        <w:t>Por</w:t>
      </w:r>
      <w:r w:rsidRPr="00B10C1A">
        <w:rPr>
          <w:rFonts w:ascii="Palatino Linotype"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w:t>
      </w:r>
      <w:r>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3D1DF8" w:rsidRPr="003D1DF8" w:rsidRDefault="003D1DF8" w:rsidP="003D1DF8">
      <w:pPr>
        <w:spacing w:after="0" w:line="360" w:lineRule="auto"/>
        <w:ind w:left="360"/>
        <w:contextualSpacing/>
        <w:jc w:val="both"/>
        <w:rPr>
          <w:rFonts w:ascii="Palatino Linotype" w:hAnsi="Palatino Linotype" w:cs="Arial"/>
          <w:bCs/>
          <w:sz w:val="24"/>
          <w:szCs w:val="24"/>
          <w:shd w:val="clear" w:color="auto" w:fill="FFFFFF"/>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4" w:name="_Toc527994042"/>
      <w:r w:rsidRPr="00877AE6">
        <w:rPr>
          <w:rFonts w:ascii="Palatino Linotype" w:eastAsia="Calibri" w:hAnsi="Palatino Linotype"/>
          <w:b/>
          <w:color w:val="auto"/>
          <w:sz w:val="24"/>
          <w:szCs w:val="24"/>
          <w:lang w:val="es-ES"/>
        </w:rPr>
        <w:t>De los requerimientos planteados en el recurso de revisión.</w:t>
      </w:r>
      <w:bookmarkEnd w:id="4"/>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el </w:t>
      </w:r>
      <w:r w:rsidR="00912F71">
        <w:rPr>
          <w:rFonts w:ascii="Palatino Linotype" w:hAnsi="Palatino Linotype" w:cs="Arial"/>
          <w:b/>
          <w:szCs w:val="20"/>
        </w:rPr>
        <w:t>Instituto Materno Infantil del Estado de México</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187610" w:rsidRPr="00877AE6" w:rsidRDefault="00187610" w:rsidP="00A766F3">
      <w:pPr>
        <w:spacing w:before="240" w:line="360" w:lineRule="auto"/>
        <w:ind w:left="348"/>
        <w:jc w:val="both"/>
        <w:rPr>
          <w:rFonts w:ascii="Palatino Linotype" w:hAnsi="Palatino Linotype" w:cs="Arial"/>
          <w:b/>
          <w:sz w:val="24"/>
          <w:szCs w:val="24"/>
        </w:rPr>
      </w:pPr>
      <w:r w:rsidRPr="00877AE6">
        <w:rPr>
          <w:rFonts w:ascii="Palatino Linotype" w:hAnsi="Palatino Linotype" w:cs="Arial"/>
          <w:b/>
          <w:sz w:val="24"/>
          <w:szCs w:val="24"/>
        </w:rPr>
        <w:t xml:space="preserve">Solicitud </w:t>
      </w:r>
      <w:r w:rsidR="003D1DF8" w:rsidRPr="003D1DF8">
        <w:rPr>
          <w:rFonts w:ascii="Palatino Linotype" w:hAnsi="Palatino Linotype"/>
          <w:b/>
          <w:bCs/>
          <w:sz w:val="24"/>
          <w:szCs w:val="24"/>
        </w:rPr>
        <w:t>00498/NAUCALPA/IP/2018</w:t>
      </w:r>
      <w:r w:rsidRPr="00877AE6">
        <w:rPr>
          <w:rFonts w:ascii="Palatino Linotype" w:hAnsi="Palatino Linotype" w:cs="Arial"/>
          <w:b/>
          <w:sz w:val="24"/>
          <w:szCs w:val="24"/>
        </w:rPr>
        <w:t>:</w:t>
      </w:r>
    </w:p>
    <w:p w:rsidR="00362134" w:rsidRPr="00877AE6" w:rsidRDefault="00362134" w:rsidP="00362134">
      <w:pPr>
        <w:spacing w:before="80" w:after="120"/>
        <w:ind w:left="709" w:right="709"/>
        <w:jc w:val="both"/>
        <w:rPr>
          <w:rFonts w:ascii="Palatino Linotype" w:hAnsi="Palatino Linotype"/>
          <w:sz w:val="24"/>
          <w:szCs w:val="24"/>
        </w:rPr>
      </w:pPr>
      <w:r w:rsidRPr="00877AE6">
        <w:rPr>
          <w:rFonts w:ascii="Palatino Linotype" w:hAnsi="Palatino Linotype" w:cs="Arial"/>
          <w:i/>
          <w:sz w:val="24"/>
          <w:szCs w:val="24"/>
        </w:rPr>
        <w:t>“</w:t>
      </w:r>
      <w:r w:rsidR="002E00FE" w:rsidRPr="002E00FE">
        <w:rPr>
          <w:rFonts w:ascii="Palatino Linotype" w:hAnsi="Palatino Linotype" w:cs="Arial"/>
          <w:i/>
          <w:sz w:val="24"/>
          <w:szCs w:val="24"/>
        </w:rPr>
        <w:t>Conforme a lo señalado en la Ley de Transparencia y Acceso a la Información Pública del EDOMEX Solicitamos en VERSIÓN PUBLICA, de manera clara y nítida, todos y cada uno de los oficios, escritos notas informativas elaboradas y/o recibidas el la direccion de administracion y finanzas del IMIEM esto por el periodo comprendido del 05 de enero al 21 de noviembre de 2018 Por su información GRACIAS</w:t>
      </w:r>
      <w:r w:rsidR="003D1DF8" w:rsidRPr="003D1DF8">
        <w:rPr>
          <w:rFonts w:ascii="Palatino Linotype" w:hAnsi="Palatino Linotype" w:cs="Arial"/>
          <w:i/>
          <w:sz w:val="24"/>
          <w:szCs w:val="24"/>
        </w:rPr>
        <w:t>.</w:t>
      </w:r>
      <w:r w:rsidRPr="00877AE6">
        <w:rPr>
          <w:rFonts w:ascii="Palatino Linotype" w:hAnsi="Palatino Linotype" w:cs="Arial"/>
          <w:i/>
          <w:sz w:val="24"/>
          <w:szCs w:val="24"/>
        </w:rPr>
        <w:t xml:space="preserve">” </w:t>
      </w:r>
      <w:r w:rsidRPr="00877AE6">
        <w:rPr>
          <w:rFonts w:ascii="Palatino Linotype" w:hAnsi="Palatino Linotype"/>
          <w:sz w:val="24"/>
          <w:szCs w:val="24"/>
        </w:rPr>
        <w:t>(Sic).</w:t>
      </w:r>
    </w:p>
    <w:p w:rsidR="00187610" w:rsidRPr="00877AE6" w:rsidRDefault="00187610" w:rsidP="00A766F3">
      <w:pPr>
        <w:ind w:left="1199" w:right="900"/>
        <w:jc w:val="both"/>
        <w:rPr>
          <w:rFonts w:ascii="Palatino Linotype" w:hAnsi="Palatino Linotype"/>
          <w:i/>
          <w:color w:val="000000"/>
          <w:sz w:val="24"/>
          <w:szCs w:val="24"/>
        </w:rPr>
      </w:pPr>
    </w:p>
    <w:p w:rsidR="00A766F3" w:rsidRPr="00877AE6" w:rsidRDefault="00A766F3" w:rsidP="00A766F3">
      <w:pPr>
        <w:numPr>
          <w:ilvl w:val="0"/>
          <w:numId w:val="2"/>
        </w:numPr>
        <w:spacing w:after="0" w:line="360" w:lineRule="auto"/>
        <w:ind w:left="426" w:hanging="426"/>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t>Inconforme</w:t>
      </w:r>
      <w:r w:rsidRPr="00877AE6">
        <w:rPr>
          <w:rFonts w:ascii="Palatino Linotype" w:hAnsi="Palatino Linotype" w:cs="Arial"/>
          <w:sz w:val="24"/>
          <w:szCs w:val="24"/>
        </w:rPr>
        <w:t xml:space="preserve"> el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362134" w:rsidRPr="00877AE6">
        <w:rPr>
          <w:rFonts w:ascii="Palatino Linotype" w:hAnsi="Palatino Linotype" w:cs="Arial"/>
          <w:sz w:val="24"/>
          <w:szCs w:val="24"/>
        </w:rPr>
        <w:t xml:space="preserve"> a través del SAIMEX en fecha </w:t>
      </w:r>
      <w:r w:rsidR="002E00FE">
        <w:rPr>
          <w:rFonts w:ascii="Palatino Linotype" w:hAnsi="Palatino Linotype" w:cs="Arial"/>
          <w:sz w:val="24"/>
          <w:szCs w:val="24"/>
        </w:rPr>
        <w:t>diecinueve</w:t>
      </w:r>
      <w:r w:rsidR="004E1262">
        <w:rPr>
          <w:rFonts w:ascii="Palatino Linotype" w:hAnsi="Palatino Linotype" w:cs="Arial"/>
          <w:sz w:val="24"/>
          <w:szCs w:val="24"/>
        </w:rPr>
        <w:t xml:space="preserve"> </w:t>
      </w:r>
      <w:r w:rsidR="00362134" w:rsidRPr="00877AE6">
        <w:rPr>
          <w:rFonts w:ascii="Palatino Linotype" w:hAnsi="Palatino Linotype" w:cs="Arial"/>
          <w:sz w:val="24"/>
          <w:szCs w:val="24"/>
        </w:rPr>
        <w:t>(</w:t>
      </w:r>
      <w:r w:rsidR="002E00FE">
        <w:rPr>
          <w:rFonts w:ascii="Palatino Linotype" w:hAnsi="Palatino Linotype" w:cs="Arial"/>
          <w:sz w:val="24"/>
          <w:szCs w:val="24"/>
        </w:rPr>
        <w:t>19</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2E00FE">
        <w:rPr>
          <w:rFonts w:ascii="Palatino Linotype" w:hAnsi="Palatino Linotype" w:cs="Arial"/>
          <w:sz w:val="24"/>
          <w:szCs w:val="24"/>
        </w:rPr>
        <w:t>diciembre</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dieciocho, a través del</w:t>
      </w:r>
      <w:r w:rsidRPr="00877AE6">
        <w:rPr>
          <w:rFonts w:ascii="Palatino Linotype" w:hAnsi="Palatino Linotype" w:cs="Arial"/>
          <w:sz w:val="24"/>
          <w:szCs w:val="24"/>
        </w:rPr>
        <w:t xml:space="preserve"> cual expresó lo siguiente:</w:t>
      </w:r>
    </w:p>
    <w:p w:rsidR="00362134" w:rsidRDefault="00362134" w:rsidP="00A766F3">
      <w:pPr>
        <w:spacing w:line="360" w:lineRule="auto"/>
        <w:ind w:left="426"/>
        <w:rPr>
          <w:rFonts w:ascii="Palatino Linotype" w:hAnsi="Palatino Linotype" w:cs="Arial"/>
          <w:b/>
          <w:sz w:val="24"/>
          <w:szCs w:val="24"/>
        </w:rPr>
      </w:pPr>
    </w:p>
    <w:p w:rsidR="004E1262" w:rsidRPr="00877AE6" w:rsidRDefault="004E1262" w:rsidP="00A766F3">
      <w:pPr>
        <w:spacing w:line="360" w:lineRule="auto"/>
        <w:ind w:left="426"/>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t>a) Acto impugnado.</w:t>
      </w:r>
    </w:p>
    <w:p w:rsidR="00362134" w:rsidRPr="00877AE6"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t>“</w:t>
      </w:r>
      <w:r w:rsidR="002E00FE" w:rsidRPr="002E00FE">
        <w:rPr>
          <w:rFonts w:ascii="Palatino Linotype" w:hAnsi="Palatino Linotype" w:cs="Arial"/>
          <w:i/>
          <w:sz w:val="24"/>
          <w:szCs w:val="24"/>
          <w:lang w:eastAsia="es-MX"/>
        </w:rPr>
        <w:t>Se impugna el acto, en otras siempre su respuesta es la falta de personal y/o el volumen de información, pero lo cierto es que son opacos y nada transparentes, los cheques póliza entregados a la sección sindical por parte del IMIEM. NO SON MAS DE CINCUENTA AL AÑO Y LOS BENEFICIAROS DE ESOS RECURSOS DEBEN DEJAR CONSTANCIA DE RECIBO DE LA PRESTACIÓN NORMALMENTE ES UN LISTADO CON NOMBRE FIRMA NUMERO DE SERVIDOR PUBLICO Y ADSCRIPCIÓN</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362134" w:rsidRPr="00877AE6" w:rsidRDefault="00362134"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362134" w:rsidP="00A13BDF">
      <w:pPr>
        <w:spacing w:before="200" w:after="200"/>
        <w:ind w:left="709" w:right="709"/>
        <w:jc w:val="both"/>
        <w:rPr>
          <w:rFonts w:ascii="Palatino Linotype" w:hAnsi="Palatino Linotype" w:cs="Arial"/>
          <w:spacing w:val="-6"/>
          <w:sz w:val="24"/>
          <w:szCs w:val="24"/>
          <w:lang w:eastAsia="es-MX"/>
        </w:rPr>
      </w:pPr>
      <w:r w:rsidRPr="00877AE6">
        <w:rPr>
          <w:rFonts w:ascii="Palatino Linotype" w:hAnsi="Palatino Linotype" w:cs="Arial"/>
          <w:i/>
          <w:spacing w:val="-6"/>
          <w:sz w:val="24"/>
          <w:szCs w:val="24"/>
          <w:lang w:eastAsia="es-MX"/>
        </w:rPr>
        <w:t>“</w:t>
      </w:r>
      <w:r w:rsidR="002E00FE" w:rsidRPr="002E00FE">
        <w:rPr>
          <w:rFonts w:ascii="Palatino Linotype" w:hAnsi="Palatino Linotype" w:cs="Arial"/>
          <w:i/>
          <w:sz w:val="24"/>
          <w:szCs w:val="24"/>
          <w:lang w:eastAsia="es-MX"/>
        </w:rPr>
        <w:t>SUS ARGUMENTOS NO SON CREÍBLES, no cumplen con la ley al respecto</w:t>
      </w:r>
      <w:r w:rsidRPr="00877AE6">
        <w:rPr>
          <w:rFonts w:ascii="Palatino Linotype" w:hAnsi="Palatino Linotype" w:cs="Arial"/>
          <w:i/>
          <w:sz w:val="24"/>
          <w:szCs w:val="24"/>
          <w:lang w:eastAsia="es-MX"/>
        </w:rPr>
        <w:t>”</w:t>
      </w:r>
      <w:r w:rsidRPr="00877AE6">
        <w:rPr>
          <w:rFonts w:ascii="Palatino Linotype" w:hAnsi="Palatino Linotype" w:cs="Arial"/>
          <w:i/>
          <w:spacing w:val="-6"/>
          <w:sz w:val="24"/>
          <w:szCs w:val="24"/>
          <w:lang w:eastAsia="es-MX"/>
        </w:rPr>
        <w:t xml:space="preserve"> </w:t>
      </w:r>
      <w:r w:rsidRPr="00877AE6">
        <w:rPr>
          <w:rFonts w:ascii="Palatino Linotype" w:hAnsi="Palatino Linotype" w:cs="Arial"/>
          <w:spacing w:val="-6"/>
          <w:sz w:val="24"/>
          <w:szCs w:val="24"/>
          <w:lang w:eastAsia="es-MX"/>
        </w:rPr>
        <w:t>(Sic)</w:t>
      </w:r>
    </w:p>
    <w:p w:rsidR="004E1262" w:rsidRPr="004E1262" w:rsidRDefault="004E1262" w:rsidP="004E1262">
      <w:pPr>
        <w:pStyle w:val="Prrafodelista"/>
        <w:spacing w:after="0" w:line="360" w:lineRule="auto"/>
        <w:ind w:left="360"/>
        <w:jc w:val="both"/>
        <w:rPr>
          <w:rFonts w:ascii="Palatino Linotype" w:eastAsia="Calibri" w:hAnsi="Palatino Linotype" w:cs="Arial"/>
          <w:sz w:val="24"/>
          <w:szCs w:val="24"/>
        </w:rPr>
      </w:pPr>
    </w:p>
    <w:p w:rsidR="000F1AD8" w:rsidRPr="00877AE6" w:rsidRDefault="00A7073D" w:rsidP="000F1AD8">
      <w:pPr>
        <w:pStyle w:val="Prrafodelista"/>
        <w:numPr>
          <w:ilvl w:val="0"/>
          <w:numId w:val="2"/>
        </w:numPr>
        <w:spacing w:after="0" w:line="360" w:lineRule="auto"/>
        <w:jc w:val="both"/>
        <w:rPr>
          <w:rFonts w:ascii="Palatino Linotype" w:eastAsia="Calibri" w:hAnsi="Palatino Linotype" w:cs="Arial"/>
          <w:sz w:val="24"/>
          <w:szCs w:val="24"/>
        </w:rPr>
      </w:pPr>
      <w:r w:rsidRPr="00877AE6">
        <w:rPr>
          <w:rFonts w:ascii="Palatino Linotype" w:hAnsi="Palatino Linotype" w:cs="Arial"/>
          <w:sz w:val="24"/>
          <w:szCs w:val="24"/>
        </w:rPr>
        <w:t>Bajo esas co</w:t>
      </w:r>
      <w:r w:rsidR="002E00FE">
        <w:rPr>
          <w:rFonts w:ascii="Palatino Linotype" w:hAnsi="Palatino Linotype" w:cs="Arial"/>
          <w:sz w:val="24"/>
          <w:szCs w:val="24"/>
        </w:rPr>
        <w:t xml:space="preserve">nsideraciones, se advirtió que las razones o </w:t>
      </w:r>
      <w:r w:rsidRPr="00877AE6">
        <w:rPr>
          <w:rFonts w:ascii="Palatino Linotype" w:hAnsi="Palatino Linotype" w:cs="Arial"/>
          <w:sz w:val="24"/>
          <w:szCs w:val="24"/>
        </w:rPr>
        <w:t xml:space="preserve"> motivos aduc</w:t>
      </w:r>
      <w:r w:rsidR="00630750" w:rsidRPr="00877AE6">
        <w:rPr>
          <w:rFonts w:ascii="Palatino Linotype" w:hAnsi="Palatino Linotype" w:cs="Arial"/>
          <w:sz w:val="24"/>
          <w:szCs w:val="24"/>
        </w:rPr>
        <w:t>id</w:t>
      </w:r>
      <w:r w:rsidR="002E00FE">
        <w:rPr>
          <w:rFonts w:ascii="Palatino Linotype" w:hAnsi="Palatino Linotype" w:cs="Arial"/>
          <w:sz w:val="24"/>
          <w:szCs w:val="24"/>
        </w:rPr>
        <w:t>os por el recurrente, resultan parcialmente fundada</w:t>
      </w:r>
      <w:r w:rsidRPr="00877AE6">
        <w:rPr>
          <w:rFonts w:ascii="Palatino Linotype" w:hAnsi="Palatino Linotype" w:cs="Arial"/>
          <w:sz w:val="24"/>
          <w:szCs w:val="24"/>
        </w:rPr>
        <w:t xml:space="preserve">s </w:t>
      </w:r>
      <w:r w:rsidR="002E00FE">
        <w:rPr>
          <w:rFonts w:ascii="Palatino Linotype" w:hAnsi="Palatino Linotype" w:cs="Arial"/>
          <w:sz w:val="24"/>
          <w:szCs w:val="24"/>
        </w:rPr>
        <w:t xml:space="preserve">y se determinó modificar la respuesta del Sujeto Obligado. </w:t>
      </w:r>
    </w:p>
    <w:p w:rsidR="00877AE6" w:rsidRPr="00877AE6" w:rsidRDefault="00877AE6" w:rsidP="00877AE6">
      <w:pPr>
        <w:pStyle w:val="Prrafodelista"/>
        <w:spacing w:after="0" w:line="360" w:lineRule="auto"/>
        <w:ind w:left="360"/>
        <w:jc w:val="both"/>
        <w:rPr>
          <w:rFonts w:ascii="Palatino Linotype" w:eastAsia="Calibri" w:hAnsi="Palatino Linotype" w:cs="Arial"/>
          <w:sz w:val="24"/>
          <w:szCs w:val="24"/>
        </w:rPr>
      </w:pPr>
    </w:p>
    <w:p w:rsidR="00877AE6" w:rsidRPr="00877AE6" w:rsidRDefault="00877AE6" w:rsidP="002E00FE">
      <w:pPr>
        <w:pStyle w:val="Ttulo1"/>
        <w:numPr>
          <w:ilvl w:val="0"/>
          <w:numId w:val="3"/>
        </w:numPr>
        <w:ind w:hanging="654"/>
        <w:rPr>
          <w:rFonts w:ascii="Palatino Linotype" w:hAnsi="Palatino Linotype"/>
          <w:b/>
          <w:color w:val="000000" w:themeColor="text1"/>
          <w:sz w:val="24"/>
          <w:szCs w:val="24"/>
        </w:rPr>
      </w:pPr>
      <w:bookmarkStart w:id="5" w:name="_Toc527994043"/>
      <w:r w:rsidRPr="00877AE6">
        <w:rPr>
          <w:rFonts w:ascii="Palatino Linotype" w:hAnsi="Palatino Linotype"/>
          <w:b/>
          <w:color w:val="000000" w:themeColor="text1"/>
          <w:sz w:val="24"/>
          <w:szCs w:val="24"/>
        </w:rPr>
        <w:t>De la respuesta del Sujeto Obligado.</w:t>
      </w:r>
      <w:bookmarkEnd w:id="5"/>
    </w:p>
    <w:p w:rsidR="00877AE6" w:rsidRPr="00877AE6" w:rsidRDefault="00877AE6" w:rsidP="00877AE6">
      <w:pPr>
        <w:spacing w:line="360" w:lineRule="auto"/>
        <w:rPr>
          <w:rFonts w:ascii="Palatino Linotype" w:hAnsi="Palatino Linotype"/>
          <w:color w:val="000000" w:themeColor="text1"/>
          <w:sz w:val="24"/>
          <w:szCs w:val="24"/>
        </w:rPr>
      </w:pPr>
    </w:p>
    <w:p w:rsidR="004E1262" w:rsidRPr="004E1262" w:rsidRDefault="003C416E" w:rsidP="004E1262">
      <w:pPr>
        <w:pStyle w:val="Prrafodelista"/>
        <w:numPr>
          <w:ilvl w:val="0"/>
          <w:numId w:val="2"/>
        </w:numPr>
        <w:spacing w:after="0" w:line="360" w:lineRule="auto"/>
        <w:jc w:val="both"/>
        <w:rPr>
          <w:rFonts w:ascii="Palatino Linotype" w:hAnsi="Palatino Linotype" w:cs="Arial"/>
          <w:i/>
          <w:sz w:val="24"/>
          <w:szCs w:val="24"/>
        </w:rPr>
      </w:pPr>
      <w:r>
        <w:rPr>
          <w:rFonts w:ascii="Palatino Linotype" w:hAnsi="Palatino Linotype" w:cs="Arial"/>
          <w:sz w:val="24"/>
          <w:szCs w:val="24"/>
        </w:rPr>
        <w:lastRenderedPageBreak/>
        <w:t>En respuesta a la solicitud de información el Sujeto Obligado remitió el Acta del Comité de Transparencia en el que aprobó el cambio de modalidad de la entrega de informaci</w:t>
      </w:r>
      <w:r w:rsidR="00E01FB8">
        <w:rPr>
          <w:rFonts w:ascii="Palatino Linotype" w:hAnsi="Palatino Linotype" w:cs="Arial"/>
          <w:sz w:val="24"/>
          <w:szCs w:val="24"/>
        </w:rPr>
        <w:t xml:space="preserve">ón, cambio que se justificó, ya que se acreditó la imposibilidad técnica para remitir la información vía SAIMEX. </w:t>
      </w:r>
    </w:p>
    <w:p w:rsidR="004E1262" w:rsidRPr="004E1262" w:rsidRDefault="004E1262" w:rsidP="004E1262">
      <w:pPr>
        <w:pStyle w:val="Prrafodelista"/>
        <w:spacing w:after="0" w:line="360" w:lineRule="auto"/>
        <w:ind w:left="360"/>
        <w:jc w:val="both"/>
        <w:rPr>
          <w:rFonts w:ascii="Palatino Linotype" w:hAnsi="Palatino Linotype" w:cs="Arial"/>
          <w:i/>
          <w:sz w:val="24"/>
          <w:szCs w:val="24"/>
        </w:rPr>
      </w:pPr>
    </w:p>
    <w:p w:rsidR="00630412" w:rsidRPr="004E1262" w:rsidRDefault="00630412" w:rsidP="004E1262">
      <w:pPr>
        <w:pStyle w:val="Prrafodelista"/>
        <w:numPr>
          <w:ilvl w:val="0"/>
          <w:numId w:val="2"/>
        </w:numPr>
        <w:spacing w:after="0" w:line="360" w:lineRule="auto"/>
        <w:jc w:val="both"/>
        <w:rPr>
          <w:rFonts w:ascii="Palatino Linotype" w:hAnsi="Palatino Linotype" w:cs="Arial"/>
          <w:i/>
          <w:sz w:val="24"/>
          <w:szCs w:val="24"/>
        </w:rPr>
      </w:pPr>
      <w:r>
        <w:rPr>
          <w:rFonts w:ascii="Palatino Linotype" w:hAnsi="Palatino Linotype" w:cs="Arial"/>
          <w:sz w:val="24"/>
          <w:szCs w:val="24"/>
        </w:rPr>
        <w:t>Contexto, con el cual asume que genera, posee y administra la información, motivo por el cual se omitió un análisis de la fuente obligacional del Sujeto Obligado al respecto, y se procediera a ordenar la entrega del s</w:t>
      </w:r>
      <w:r w:rsidR="00E01FB8">
        <w:rPr>
          <w:rFonts w:ascii="Palatino Linotype" w:hAnsi="Palatino Linotype" w:cs="Arial"/>
          <w:sz w:val="24"/>
          <w:szCs w:val="24"/>
        </w:rPr>
        <w:t xml:space="preserve">oporte documental de referencia, sin embargo, es de señalar que a la resolución se agregó que en caso de que parte de la información solicitada encuadre  en alguna causal de reserva deberá elaborar un Acuerdo de </w:t>
      </w:r>
      <w:r w:rsidR="006A35A5">
        <w:rPr>
          <w:rFonts w:ascii="Palatino Linotype" w:hAnsi="Palatino Linotype" w:cs="Arial"/>
          <w:sz w:val="24"/>
          <w:szCs w:val="24"/>
        </w:rPr>
        <w:t>Clasificación</w:t>
      </w:r>
      <w:r w:rsidR="00E01FB8">
        <w:rPr>
          <w:rFonts w:ascii="Palatino Linotype" w:hAnsi="Palatino Linotype" w:cs="Arial"/>
          <w:sz w:val="24"/>
          <w:szCs w:val="24"/>
        </w:rPr>
        <w:t>.</w:t>
      </w:r>
    </w:p>
    <w:p w:rsidR="00877AE6" w:rsidRPr="00877AE6" w:rsidRDefault="00877AE6" w:rsidP="004E1262">
      <w:pPr>
        <w:pStyle w:val="Prrafodelista"/>
        <w:spacing w:after="0" w:line="360" w:lineRule="auto"/>
        <w:ind w:left="426"/>
        <w:jc w:val="both"/>
        <w:rPr>
          <w:rFonts w:ascii="Palatino Linotype" w:hAnsi="Palatino Linotype" w:cs="Arial"/>
          <w:sz w:val="24"/>
          <w:szCs w:val="24"/>
        </w:rPr>
      </w:pPr>
      <w:r w:rsidRPr="00877AE6">
        <w:rPr>
          <w:rFonts w:ascii="Palatino Linotype" w:hAnsi="Palatino Linotype" w:cs="Arial"/>
          <w:sz w:val="24"/>
          <w:szCs w:val="24"/>
        </w:rPr>
        <w:t xml:space="preserve"> </w:t>
      </w:r>
    </w:p>
    <w:p w:rsidR="00877AE6" w:rsidRPr="00877AE6" w:rsidRDefault="00630412" w:rsidP="00630412">
      <w:pPr>
        <w:pStyle w:val="Prrafodelista"/>
        <w:numPr>
          <w:ilvl w:val="0"/>
          <w:numId w:val="2"/>
        </w:numPr>
        <w:spacing w:after="0" w:line="360" w:lineRule="auto"/>
        <w:ind w:left="426" w:right="49" w:hanging="426"/>
        <w:jc w:val="both"/>
        <w:rPr>
          <w:rFonts w:ascii="Palatino Linotype" w:hAnsi="Palatino Linotype" w:cs="Arial"/>
          <w:sz w:val="24"/>
          <w:szCs w:val="24"/>
        </w:rPr>
      </w:pPr>
      <w:r>
        <w:rPr>
          <w:rFonts w:ascii="Palatino Linotype" w:hAnsi="Palatino Linotype" w:cs="Arial"/>
          <w:sz w:val="24"/>
          <w:szCs w:val="24"/>
        </w:rPr>
        <w:t>En esa tesitura</w:t>
      </w:r>
      <w:r w:rsidR="00877AE6" w:rsidRPr="00877AE6">
        <w:rPr>
          <w:rFonts w:ascii="Palatino Linotype" w:hAnsi="Palatino Linotype" w:cs="Arial"/>
          <w:sz w:val="24"/>
          <w:szCs w:val="24"/>
        </w:rPr>
        <w:t>,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La existencia de un juicio o procedimiento administrativo materialmente jurisdiccional. </w:t>
      </w:r>
    </w:p>
    <w:p w:rsidR="00877AE6" w:rsidRPr="00877AE6" w:rsidRDefault="00877AE6" w:rsidP="00877AE6">
      <w:pPr>
        <w:pStyle w:val="Prrafodelista"/>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Que el juicio se encuentre en trámite, es decir, que no haya causado estad.</w:t>
      </w:r>
    </w:p>
    <w:p w:rsidR="00877AE6" w:rsidRPr="00877AE6" w:rsidRDefault="00877AE6" w:rsidP="00877AE6">
      <w:pPr>
        <w:spacing w:line="360" w:lineRule="auto"/>
        <w:ind w:left="567" w:right="616" w:hanging="11"/>
        <w:jc w:val="both"/>
        <w:rPr>
          <w:rFonts w:ascii="Palatino Linotype" w:hAnsi="Palatino Linotype" w:cs="Arial"/>
          <w:b/>
          <w:sz w:val="24"/>
          <w:szCs w:val="24"/>
        </w:rPr>
      </w:pPr>
      <w:r w:rsidRPr="00877AE6">
        <w:rPr>
          <w:rFonts w:ascii="Palatino Linotype" w:hAnsi="Palatino Linotype" w:cs="Arial"/>
          <w:b/>
          <w:sz w:val="24"/>
          <w:szCs w:val="24"/>
        </w:rPr>
        <w:lastRenderedPageBreak/>
        <w:t xml:space="preserve"> </w:t>
      </w: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El vínculo entre la información solicitada y el procedimiento judicial de que se trate. </w:t>
      </w:r>
    </w:p>
    <w:p w:rsidR="00877AE6" w:rsidRPr="00877AE6" w:rsidRDefault="00877AE6" w:rsidP="00877AE6">
      <w:pPr>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Default="00877AE6" w:rsidP="00630412">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p>
    <w:p w:rsidR="00630412" w:rsidRPr="00877AE6" w:rsidRDefault="00630412" w:rsidP="00630412">
      <w:pPr>
        <w:pStyle w:val="Prrafodelista"/>
        <w:spacing w:before="240" w:after="240" w:line="360" w:lineRule="auto"/>
        <w:ind w:left="426" w:right="49"/>
        <w:jc w:val="both"/>
        <w:rPr>
          <w:rFonts w:ascii="Palatino Linotype" w:hAnsi="Palatino Linotype" w:cs="Arial"/>
          <w:sz w:val="24"/>
          <w:szCs w:val="24"/>
        </w:rPr>
      </w:pPr>
    </w:p>
    <w:p w:rsidR="00877AE6" w:rsidRDefault="00877AE6" w:rsidP="006A35A5">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r w:rsidR="0057636B">
        <w:rPr>
          <w:rFonts w:ascii="Palatino Linotype" w:hAnsi="Palatino Linotype" w:cs="Arial"/>
          <w:sz w:val="24"/>
          <w:szCs w:val="24"/>
        </w:rPr>
        <w:t>Resolutor</w:t>
      </w:r>
      <w:r w:rsidRPr="00877AE6">
        <w:rPr>
          <w:rFonts w:ascii="Palatino Linotype" w:hAnsi="Palatino Linotype" w:cs="Arial"/>
          <w:sz w:val="24"/>
          <w:szCs w:val="24"/>
        </w:rPr>
        <w:t xml:space="preserve">a, se desprende </w:t>
      </w:r>
      <w:r w:rsidR="006A35A5">
        <w:rPr>
          <w:rFonts w:ascii="Palatino Linotype" w:hAnsi="Palatino Linotype" w:cs="Arial"/>
          <w:sz w:val="24"/>
          <w:szCs w:val="24"/>
        </w:rPr>
        <w:t xml:space="preserve">que otorgó al Sujeto Obligado la posibilidad de reservar información sin realizar el análisis de la información que pudiera ser reservada. </w:t>
      </w:r>
    </w:p>
    <w:p w:rsidR="006A35A5" w:rsidRPr="00877AE6" w:rsidRDefault="006A35A5" w:rsidP="006A35A5">
      <w:pPr>
        <w:pStyle w:val="Prrafodelista"/>
        <w:spacing w:before="240" w:after="240" w:line="360" w:lineRule="auto"/>
        <w:ind w:left="426" w:right="49"/>
        <w:jc w:val="both"/>
        <w:rPr>
          <w:rFonts w:ascii="Palatino Linotype" w:hAnsi="Palatino Linotype" w:cs="Arial"/>
          <w:sz w:val="24"/>
          <w:szCs w:val="24"/>
        </w:rPr>
      </w:pPr>
    </w:p>
    <w:p w:rsidR="00630412" w:rsidRDefault="006A35A5"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Pr>
          <w:rFonts w:ascii="Palatino Linotype" w:hAnsi="Palatino Linotype" w:cs="Arial"/>
          <w:sz w:val="24"/>
          <w:szCs w:val="24"/>
        </w:rPr>
        <w:t xml:space="preserve">En el estudio </w:t>
      </w:r>
      <w:r w:rsidR="00877AE6" w:rsidRPr="00877AE6">
        <w:rPr>
          <w:rFonts w:ascii="Palatino Linotype" w:hAnsi="Palatino Linotype" w:cs="Arial"/>
          <w:sz w:val="24"/>
          <w:szCs w:val="24"/>
        </w:rPr>
        <w:t xml:space="preserve">realizado por la ponencia resolutora tampoco analizó debidamente tales circunstancias, solamente se constriñe a señalar que </w:t>
      </w:r>
      <w:r w:rsidR="00630412">
        <w:rPr>
          <w:rFonts w:ascii="Palatino Linotype" w:hAnsi="Palatino Linotype" w:cs="Arial"/>
          <w:sz w:val="24"/>
          <w:szCs w:val="24"/>
        </w:rPr>
        <w:t xml:space="preserve">se ordena la información, dejando una salvedad que para el caso de que se actualice una causal de reserva, se proceda en esos términos, situación que no </w:t>
      </w:r>
      <w:r w:rsidR="00630412">
        <w:rPr>
          <w:rFonts w:ascii="Palatino Linotype" w:hAnsi="Palatino Linotype" w:cs="Arial"/>
          <w:sz w:val="24"/>
          <w:szCs w:val="24"/>
        </w:rPr>
        <w:lastRenderedPageBreak/>
        <w:t>debiera dejarse como una salvedad; sino que debió ser la propia Ponencia Resolutora, quien determinara si era o no información clasificada.</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Es 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Pr="00877AE6">
        <w:rPr>
          <w:rFonts w:ascii="Palatino Linotype" w:hAnsi="Palatino Linotype" w:cs="Arial"/>
          <w:sz w:val="24"/>
          <w:szCs w:val="24"/>
          <w:lang w:eastAsia="es-MX"/>
        </w:rPr>
        <w:t>069/18 y RIA 082/18</w:t>
      </w:r>
      <w:r w:rsidRPr="00877AE6">
        <w:rPr>
          <w:rFonts w:ascii="Palatino Linotype" w:hAnsi="Palatino Linotype" w:cs="Arial"/>
          <w:sz w:val="24"/>
          <w:szCs w:val="24"/>
        </w:rPr>
        <w:t xml:space="preserve">, en los que el Órgano Garante Nacional, puntualmente dirigió a este Órgano Garante local, que para invocar la causal de reserva, se deben de agotar todos y cada uno de los requisitos.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lastRenderedPageBreak/>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877AE6">
        <w:rPr>
          <w:rFonts w:ascii="Palatino Linotype" w:hAnsi="Palatino Linotype" w:cs="Arial"/>
          <w:b/>
          <w:sz w:val="24"/>
          <w:szCs w:val="24"/>
        </w:rPr>
        <w:t>considerando que algún nivel de gobierno tenga obligaciones reforzadas hacia ciertos derechos.</w:t>
      </w:r>
      <w:r w:rsidRPr="00877AE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877AE6">
        <w:rPr>
          <w:rFonts w:ascii="Palatino Linotype" w:hAnsi="Palatino Linotype" w:cs="Arial"/>
          <w:b/>
          <w:sz w:val="24"/>
          <w:szCs w:val="24"/>
        </w:rPr>
        <w:t xml:space="preserve">tomar </w:t>
      </w:r>
      <w:r w:rsidRPr="00877AE6">
        <w:rPr>
          <w:rFonts w:ascii="Palatino Linotype" w:hAnsi="Palatino Linotype" w:cs="Arial"/>
          <w:b/>
          <w:sz w:val="24"/>
          <w:szCs w:val="24"/>
        </w:rPr>
        <w:lastRenderedPageBreak/>
        <w:t>todas las medidas que sean pertinentes para tutelar y hacer eficaz un derecho</w:t>
      </w:r>
      <w:r w:rsidRPr="00877AE6">
        <w:rPr>
          <w:rFonts w:ascii="Palatino Linotype" w:hAnsi="Palatino Linotype" w:cs="Arial"/>
          <w:sz w:val="24"/>
          <w:szCs w:val="24"/>
        </w:rPr>
        <w:t>”.</w:t>
      </w:r>
      <w:r w:rsidRPr="00877AE6">
        <w:rPr>
          <w:rStyle w:val="Refdenotaalpie"/>
          <w:rFonts w:ascii="Palatino Linotype" w:hAnsi="Palatino Linotype" w:cs="Arial"/>
          <w:sz w:val="24"/>
          <w:szCs w:val="24"/>
        </w:rPr>
        <w:footnoteReference w:id="1"/>
      </w:r>
    </w:p>
    <w:p w:rsidR="00877AE6" w:rsidRP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“Artículo 185. El instituto resolverá el recurso de revisión conforme a lo siguiente:</w:t>
      </w: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xml:space="preserve">(…) </w:t>
      </w: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xml:space="preserve">V. La o el Comisionado ponente podrá determinar la celebración de audiencias con las partes durante la sustanciación del proceso. </w:t>
      </w:r>
    </w:p>
    <w:p w:rsidR="00877AE6" w:rsidRPr="006A35A5" w:rsidRDefault="00877AE6" w:rsidP="00877AE6">
      <w:pPr>
        <w:pStyle w:val="Prrafodelista"/>
        <w:spacing w:line="360" w:lineRule="auto"/>
        <w:ind w:left="851" w:right="616"/>
        <w:jc w:val="both"/>
        <w:rPr>
          <w:rFonts w:ascii="Palatino Linotype" w:hAnsi="Palatino Linotype" w:cs="Arial"/>
          <w:i/>
        </w:rPr>
      </w:pPr>
      <w:r w:rsidRPr="006A35A5">
        <w:rPr>
          <w:rFonts w:ascii="Palatino Linotype" w:hAnsi="Palatino Linotype" w:cs="Arial"/>
          <w:i/>
        </w:rPr>
        <w:t>(…) “</w:t>
      </w:r>
    </w:p>
    <w:p w:rsidR="00877AE6" w:rsidRPr="00877AE6" w:rsidRDefault="00877AE6" w:rsidP="00877AE6">
      <w:pPr>
        <w:pStyle w:val="Prrafodelista"/>
        <w:numPr>
          <w:ilvl w:val="0"/>
          <w:numId w:val="2"/>
        </w:numPr>
        <w:spacing w:after="0" w:line="360" w:lineRule="auto"/>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R</w:t>
      </w:r>
      <w:r w:rsidRPr="00877AE6">
        <w:rPr>
          <w:rFonts w:ascii="Palatino Linotype" w:hAnsi="Palatino Linotype" w:cs="Arial"/>
          <w:sz w:val="24"/>
          <w:szCs w:val="24"/>
        </w:rPr>
        <w:t xml:space="preserve">esolutora </w:t>
      </w:r>
      <w:r w:rsidR="00630412">
        <w:rPr>
          <w:rFonts w:ascii="Palatino Linotype" w:hAnsi="Palatino Linotype" w:cs="Arial"/>
          <w:sz w:val="24"/>
          <w:szCs w:val="24"/>
        </w:rPr>
        <w:t xml:space="preserve">–insisto–, </w:t>
      </w:r>
      <w:r w:rsidRPr="00877AE6">
        <w:rPr>
          <w:rFonts w:ascii="Palatino Linotype" w:hAnsi="Palatino Linotype" w:cs="Arial"/>
          <w:sz w:val="24"/>
          <w:szCs w:val="24"/>
        </w:rPr>
        <w:t>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w:t>
      </w:r>
      <w:r w:rsidRPr="00877AE6">
        <w:rPr>
          <w:rFonts w:ascii="Palatino Linotype" w:hAnsi="Palatino Linotype" w:cs="Arial"/>
          <w:sz w:val="24"/>
          <w:szCs w:val="24"/>
        </w:rPr>
        <w:lastRenderedPageBreak/>
        <w:t xml:space="preserve">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6A35A5" w:rsidRPr="00301086" w:rsidRDefault="00FE083B" w:rsidP="006A35A5">
      <w:pPr>
        <w:pStyle w:val="Prrafodelista"/>
        <w:widowControl w:val="0"/>
        <w:numPr>
          <w:ilvl w:val="0"/>
          <w:numId w:val="43"/>
        </w:numPr>
        <w:tabs>
          <w:tab w:val="left" w:pos="426"/>
        </w:tabs>
        <w:autoSpaceDE w:val="0"/>
        <w:autoSpaceDN w:val="0"/>
        <w:adjustRightInd w:val="0"/>
        <w:spacing w:after="0" w:line="360" w:lineRule="auto"/>
        <w:ind w:left="0" w:right="49" w:firstLine="0"/>
        <w:contextualSpacing w:val="0"/>
        <w:jc w:val="both"/>
        <w:rPr>
          <w:rFonts w:ascii="Palatino Linotype" w:eastAsia="Calibri" w:hAnsi="Palatino Linotype" w:cs="Arial"/>
          <w:sz w:val="24"/>
          <w:szCs w:val="24"/>
        </w:rPr>
      </w:pPr>
      <w:r>
        <w:rPr>
          <w:rFonts w:ascii="Palatino Linotype" w:hAnsi="Palatino Linotype" w:cs="Arial"/>
          <w:sz w:val="24"/>
          <w:szCs w:val="24"/>
        </w:rPr>
        <w:t>Ahora bien, por lo que hace a este caso particular y a manera de conclusión, considero que</w:t>
      </w:r>
      <w:r w:rsidR="00DD319E">
        <w:rPr>
          <w:rFonts w:ascii="Palatino Linotype" w:hAnsi="Palatino Linotype" w:cs="Arial"/>
          <w:sz w:val="24"/>
          <w:szCs w:val="24"/>
        </w:rPr>
        <w:t xml:space="preserve"> no</w:t>
      </w:r>
      <w:r>
        <w:rPr>
          <w:rFonts w:ascii="Palatino Linotype" w:hAnsi="Palatino Linotype" w:cs="Arial"/>
          <w:sz w:val="24"/>
          <w:szCs w:val="24"/>
        </w:rPr>
        <w:t xml:space="preserve"> 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r w:rsidR="006A35A5">
        <w:rPr>
          <w:rFonts w:ascii="Palatino Linotype" w:hAnsi="Palatino Linotype" w:cs="Arial"/>
          <w:sz w:val="24"/>
          <w:szCs w:val="24"/>
        </w:rPr>
        <w:t xml:space="preserve"> Por tanto, considero que a</w:t>
      </w:r>
      <w:r w:rsidR="006A35A5" w:rsidRPr="009A3225">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FE083B" w:rsidRDefault="00FE083B" w:rsidP="006A35A5">
      <w:pPr>
        <w:pStyle w:val="Prrafodelista"/>
        <w:spacing w:line="360" w:lineRule="auto"/>
        <w:ind w:left="360"/>
        <w:jc w:val="both"/>
        <w:rPr>
          <w:rFonts w:ascii="Palatino Linotype" w:hAnsi="Palatino Linotype" w:cs="Arial"/>
          <w:sz w:val="24"/>
          <w:szCs w:val="24"/>
        </w:rPr>
      </w:pPr>
    </w:p>
    <w:p w:rsidR="00FE083B" w:rsidRDefault="00FE083B" w:rsidP="00FE083B">
      <w:pPr>
        <w:pStyle w:val="Prrafodelista"/>
        <w:rPr>
          <w:rFonts w:ascii="Palatino Linotype" w:hAnsi="Palatino Linotype" w:cs="Arial"/>
          <w:sz w:val="24"/>
          <w:szCs w:val="24"/>
        </w:rPr>
      </w:pPr>
    </w:p>
    <w:p w:rsidR="00466F45" w:rsidRPr="00877AE6"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877AE6" w:rsidRDefault="000D5AEA" w:rsidP="000D5AEA">
      <w:pPr>
        <w:spacing w:line="360" w:lineRule="auto"/>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0D5AEA" w:rsidRPr="00877AE6" w:rsidRDefault="000D5AEA" w:rsidP="000D5AEA">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p w:rsidR="00A640C7" w:rsidRDefault="006A35A5" w:rsidP="000D5AEA">
      <w:pPr>
        <w:jc w:val="center"/>
        <w:rPr>
          <w:rFonts w:ascii="Palatino Linotype" w:eastAsia="Calibri" w:hAnsi="Palatino Linotype" w:cs="Arial"/>
          <w:b/>
          <w:color w:val="0D0D0D" w:themeColor="text1" w:themeTint="F2"/>
          <w:sz w:val="24"/>
          <w:szCs w:val="24"/>
        </w:rPr>
      </w:pPr>
      <w:r>
        <w:rPr>
          <w:rFonts w:ascii="Palatino Linotype" w:eastAsia="Calibri" w:hAnsi="Palatino Linotype" w:cs="Arial"/>
          <w:b/>
          <w:color w:val="0D0D0D" w:themeColor="text1" w:themeTint="F2"/>
          <w:sz w:val="24"/>
          <w:szCs w:val="24"/>
        </w:rPr>
        <w:t>(Rúbrica</w:t>
      </w:r>
      <w:r w:rsidR="00A93DB3" w:rsidRPr="00877AE6">
        <w:rPr>
          <w:rFonts w:ascii="Palatino Linotype" w:eastAsia="Calibri" w:hAnsi="Palatino Linotype" w:cs="Arial"/>
          <w:b/>
          <w:color w:val="0D0D0D" w:themeColor="text1" w:themeTint="F2"/>
          <w:sz w:val="24"/>
          <w:szCs w:val="24"/>
        </w:rPr>
        <w:t>)</w:t>
      </w:r>
    </w:p>
    <w:p w:rsidR="006A35A5" w:rsidRPr="00877AE6" w:rsidRDefault="007D5A8B" w:rsidP="007D5A8B">
      <w:pPr>
        <w:rPr>
          <w:rFonts w:ascii="Palatino Linotype" w:eastAsia="Calibri" w:hAnsi="Palatino Linotype" w:cs="Times New Roman"/>
          <w:color w:val="0D0D0D" w:themeColor="text1" w:themeTint="F2"/>
          <w:sz w:val="24"/>
          <w:szCs w:val="24"/>
        </w:rPr>
      </w:pPr>
      <w:r>
        <w:rPr>
          <w:rFonts w:ascii="Palatino Linotype" w:eastAsia="Calibri" w:hAnsi="Palatino Linotype" w:cs="Times New Roman"/>
          <w:color w:val="0D0D0D" w:themeColor="text1" w:themeTint="F2"/>
          <w:sz w:val="24"/>
          <w:szCs w:val="24"/>
        </w:rPr>
        <w:t>SAVP/sev</w:t>
      </w:r>
    </w:p>
    <w:sectPr w:rsidR="006A35A5" w:rsidRPr="00877AE6"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305" w:rsidRDefault="00F11305" w:rsidP="00E82D3D">
      <w:pPr>
        <w:spacing w:after="0" w:line="240" w:lineRule="auto"/>
      </w:pPr>
      <w:r>
        <w:separator/>
      </w:r>
    </w:p>
  </w:endnote>
  <w:endnote w:type="continuationSeparator" w:id="0">
    <w:p w:rsidR="00F11305" w:rsidRDefault="00F1130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2BD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2BDA">
              <w:rPr>
                <w:b/>
                <w:bCs/>
                <w:noProof/>
              </w:rPr>
              <w:t>11</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305" w:rsidRDefault="00F11305" w:rsidP="00E82D3D">
      <w:pPr>
        <w:spacing w:after="0" w:line="240" w:lineRule="auto"/>
      </w:pPr>
      <w:r>
        <w:separator/>
      </w:r>
    </w:p>
  </w:footnote>
  <w:footnote w:type="continuationSeparator" w:id="0">
    <w:p w:rsidR="00F11305" w:rsidRDefault="00F11305"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113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113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F113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1"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15:restartNumberingAfterBreak="0">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7"/>
  </w:num>
  <w:num w:numId="3">
    <w:abstractNumId w:val="29"/>
  </w:num>
  <w:num w:numId="4">
    <w:abstractNumId w:val="35"/>
  </w:num>
  <w:num w:numId="5">
    <w:abstractNumId w:val="31"/>
  </w:num>
  <w:num w:numId="6">
    <w:abstractNumId w:val="33"/>
  </w:num>
  <w:num w:numId="7">
    <w:abstractNumId w:val="25"/>
  </w:num>
  <w:num w:numId="8">
    <w:abstractNumId w:val="4"/>
  </w:num>
  <w:num w:numId="9">
    <w:abstractNumId w:val="0"/>
  </w:num>
  <w:num w:numId="10">
    <w:abstractNumId w:val="17"/>
  </w:num>
  <w:num w:numId="11">
    <w:abstractNumId w:val="23"/>
  </w:num>
  <w:num w:numId="12">
    <w:abstractNumId w:val="5"/>
  </w:num>
  <w:num w:numId="13">
    <w:abstractNumId w:val="28"/>
  </w:num>
  <w:num w:numId="14">
    <w:abstractNumId w:val="42"/>
  </w:num>
  <w:num w:numId="15">
    <w:abstractNumId w:val="1"/>
  </w:num>
  <w:num w:numId="16">
    <w:abstractNumId w:val="9"/>
  </w:num>
  <w:num w:numId="17">
    <w:abstractNumId w:val="37"/>
  </w:num>
  <w:num w:numId="18">
    <w:abstractNumId w:val="20"/>
  </w:num>
  <w:num w:numId="19">
    <w:abstractNumId w:val="24"/>
  </w:num>
  <w:num w:numId="20">
    <w:abstractNumId w:val="36"/>
  </w:num>
  <w:num w:numId="21">
    <w:abstractNumId w:val="41"/>
  </w:num>
  <w:num w:numId="22">
    <w:abstractNumId w:val="26"/>
  </w:num>
  <w:num w:numId="23">
    <w:abstractNumId w:val="14"/>
  </w:num>
  <w:num w:numId="24">
    <w:abstractNumId w:val="11"/>
  </w:num>
  <w:num w:numId="25">
    <w:abstractNumId w:val="22"/>
  </w:num>
  <w:num w:numId="26">
    <w:abstractNumId w:val="16"/>
  </w:num>
  <w:num w:numId="27">
    <w:abstractNumId w:val="10"/>
  </w:num>
  <w:num w:numId="28">
    <w:abstractNumId w:val="7"/>
  </w:num>
  <w:num w:numId="29">
    <w:abstractNumId w:val="6"/>
  </w:num>
  <w:num w:numId="30">
    <w:abstractNumId w:val="3"/>
  </w:num>
  <w:num w:numId="31">
    <w:abstractNumId w:val="18"/>
  </w:num>
  <w:num w:numId="32">
    <w:abstractNumId w:val="2"/>
  </w:num>
  <w:num w:numId="33">
    <w:abstractNumId w:val="13"/>
  </w:num>
  <w:num w:numId="34">
    <w:abstractNumId w:val="40"/>
  </w:num>
  <w:num w:numId="35">
    <w:abstractNumId w:val="38"/>
  </w:num>
  <w:num w:numId="36">
    <w:abstractNumId w:val="19"/>
  </w:num>
  <w:num w:numId="37">
    <w:abstractNumId w:val="30"/>
  </w:num>
  <w:num w:numId="38">
    <w:abstractNumId w:val="8"/>
  </w:num>
  <w:num w:numId="39">
    <w:abstractNumId w:val="12"/>
  </w:num>
  <w:num w:numId="40">
    <w:abstractNumId w:val="34"/>
  </w:num>
  <w:num w:numId="41">
    <w:abstractNumId w:val="15"/>
  </w:num>
  <w:num w:numId="42">
    <w:abstractNumId w:val="39"/>
  </w:num>
  <w:num w:numId="4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96CC2"/>
    <w:rsid w:val="000B2BC8"/>
    <w:rsid w:val="000C6443"/>
    <w:rsid w:val="000D5AEA"/>
    <w:rsid w:val="000F1AD8"/>
    <w:rsid w:val="00102360"/>
    <w:rsid w:val="00102A9E"/>
    <w:rsid w:val="001134A2"/>
    <w:rsid w:val="001240A5"/>
    <w:rsid w:val="0014534B"/>
    <w:rsid w:val="00146C7D"/>
    <w:rsid w:val="00160B22"/>
    <w:rsid w:val="001744A9"/>
    <w:rsid w:val="001759E6"/>
    <w:rsid w:val="00187610"/>
    <w:rsid w:val="001B19B4"/>
    <w:rsid w:val="001B2A38"/>
    <w:rsid w:val="001D51C6"/>
    <w:rsid w:val="001E4EBD"/>
    <w:rsid w:val="001E7FE3"/>
    <w:rsid w:val="00245FAB"/>
    <w:rsid w:val="00270A82"/>
    <w:rsid w:val="0027188D"/>
    <w:rsid w:val="002E00FE"/>
    <w:rsid w:val="002E3ED2"/>
    <w:rsid w:val="002F79FF"/>
    <w:rsid w:val="00315A31"/>
    <w:rsid w:val="003246CE"/>
    <w:rsid w:val="003258B6"/>
    <w:rsid w:val="00334204"/>
    <w:rsid w:val="00362134"/>
    <w:rsid w:val="00376456"/>
    <w:rsid w:val="00384DBA"/>
    <w:rsid w:val="00391ECE"/>
    <w:rsid w:val="003B64F7"/>
    <w:rsid w:val="003C416E"/>
    <w:rsid w:val="003D1DF8"/>
    <w:rsid w:val="004137A7"/>
    <w:rsid w:val="004505EE"/>
    <w:rsid w:val="00466F45"/>
    <w:rsid w:val="00474F5A"/>
    <w:rsid w:val="0048628E"/>
    <w:rsid w:val="004B0239"/>
    <w:rsid w:val="004E1262"/>
    <w:rsid w:val="004F15BB"/>
    <w:rsid w:val="005556CA"/>
    <w:rsid w:val="00573FEE"/>
    <w:rsid w:val="0057636B"/>
    <w:rsid w:val="00581E2F"/>
    <w:rsid w:val="00586D5D"/>
    <w:rsid w:val="00597AB4"/>
    <w:rsid w:val="005C544A"/>
    <w:rsid w:val="005E38D6"/>
    <w:rsid w:val="005F30BC"/>
    <w:rsid w:val="00617ACF"/>
    <w:rsid w:val="006257F0"/>
    <w:rsid w:val="00630412"/>
    <w:rsid w:val="00630750"/>
    <w:rsid w:val="006577B9"/>
    <w:rsid w:val="00687050"/>
    <w:rsid w:val="006A35A5"/>
    <w:rsid w:val="006F0A01"/>
    <w:rsid w:val="006F7748"/>
    <w:rsid w:val="00707317"/>
    <w:rsid w:val="00733E65"/>
    <w:rsid w:val="00752BDA"/>
    <w:rsid w:val="0079319A"/>
    <w:rsid w:val="00797A31"/>
    <w:rsid w:val="007A5C1B"/>
    <w:rsid w:val="007D037D"/>
    <w:rsid w:val="007D5A8B"/>
    <w:rsid w:val="007F564A"/>
    <w:rsid w:val="008039E7"/>
    <w:rsid w:val="00807E40"/>
    <w:rsid w:val="0081508B"/>
    <w:rsid w:val="00877AE6"/>
    <w:rsid w:val="008C2121"/>
    <w:rsid w:val="008F7805"/>
    <w:rsid w:val="00902FFF"/>
    <w:rsid w:val="00905472"/>
    <w:rsid w:val="009109B4"/>
    <w:rsid w:val="00912F71"/>
    <w:rsid w:val="0098322D"/>
    <w:rsid w:val="009A2D39"/>
    <w:rsid w:val="009C382C"/>
    <w:rsid w:val="009D7DC0"/>
    <w:rsid w:val="00A0789D"/>
    <w:rsid w:val="00A112DF"/>
    <w:rsid w:val="00A13BDF"/>
    <w:rsid w:val="00A61EE4"/>
    <w:rsid w:val="00A640C7"/>
    <w:rsid w:val="00A7073D"/>
    <w:rsid w:val="00A766F3"/>
    <w:rsid w:val="00A93DB3"/>
    <w:rsid w:val="00AB44E1"/>
    <w:rsid w:val="00B31280"/>
    <w:rsid w:val="00B418D3"/>
    <w:rsid w:val="00B44BEB"/>
    <w:rsid w:val="00B46FD7"/>
    <w:rsid w:val="00B5044C"/>
    <w:rsid w:val="00B9285A"/>
    <w:rsid w:val="00BB488C"/>
    <w:rsid w:val="00C06F53"/>
    <w:rsid w:val="00C20346"/>
    <w:rsid w:val="00C3434E"/>
    <w:rsid w:val="00C71CD0"/>
    <w:rsid w:val="00C743FE"/>
    <w:rsid w:val="00C753D8"/>
    <w:rsid w:val="00CA2B8E"/>
    <w:rsid w:val="00CB73E4"/>
    <w:rsid w:val="00CC7CC1"/>
    <w:rsid w:val="00CF0462"/>
    <w:rsid w:val="00CF69A6"/>
    <w:rsid w:val="00D214EE"/>
    <w:rsid w:val="00D7079B"/>
    <w:rsid w:val="00D70E0E"/>
    <w:rsid w:val="00DD14BB"/>
    <w:rsid w:val="00DD319E"/>
    <w:rsid w:val="00DE0E07"/>
    <w:rsid w:val="00DE7A32"/>
    <w:rsid w:val="00E01FB8"/>
    <w:rsid w:val="00E06302"/>
    <w:rsid w:val="00E20DC1"/>
    <w:rsid w:val="00E20E86"/>
    <w:rsid w:val="00E220D0"/>
    <w:rsid w:val="00E235A7"/>
    <w:rsid w:val="00E32640"/>
    <w:rsid w:val="00E37324"/>
    <w:rsid w:val="00E452DC"/>
    <w:rsid w:val="00E469EB"/>
    <w:rsid w:val="00E57622"/>
    <w:rsid w:val="00E82D3D"/>
    <w:rsid w:val="00EA1463"/>
    <w:rsid w:val="00EB7577"/>
    <w:rsid w:val="00EF1A34"/>
    <w:rsid w:val="00F01325"/>
    <w:rsid w:val="00F11305"/>
    <w:rsid w:val="00F1435E"/>
    <w:rsid w:val="00F16AB7"/>
    <w:rsid w:val="00F30EE8"/>
    <w:rsid w:val="00F354D8"/>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3E20-BA21-42FB-B95C-F233E3B1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1857</Words>
  <Characters>10215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2017-08-25T18:08:00Z</cp:lastPrinted>
  <dcterms:created xsi:type="dcterms:W3CDTF">2019-03-21T00:15:00Z</dcterms:created>
  <dcterms:modified xsi:type="dcterms:W3CDTF">2019-03-21T00:15:00Z</dcterms:modified>
</cp:coreProperties>
</file>